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116</w:t>
      </w:r>
    </w:p>
    <w:p>
      <w:r>
        <w:t>Bundesgericht (BGE), 2012-08-22, DE</w:t>
      </w:r>
    </w:p>
    <w:p>
      <w:r>
        <w:rPr>
          <w:b/>
        </w:rPr>
        <w:t xml:space="preserve">Quelle: </w:t>
      </w:r>
      <w:r>
        <w:t>https://mcp.opencaselaw.ch/entscheid/bge_140 V 116</w:t>
      </w:r>
    </w:p>
    <w:p>
      <w:r>
        <w:t>FR: ATF 140 V 116</w:t>
      </w:r>
    </w:p>
    <w:p>
      <w:r>
        <w:t>IT: DTF 140 V 116</w:t>
      </w:r>
    </w:p>
    <w:p>
      <w:pPr>
        <w:pStyle w:val="Heading2"/>
      </w:pPr>
      <w:r>
        <w:t>Regeste</w:t>
      </w:r>
    </w:p>
    <w:p>
      <w:r>
        <w:t>Regeste Art. 37 Abs. 4 und Art. 52 Abs. 3 ATSG; Art. 64 Abs. 1 VwVG in Verbindung mit Art. 55 ATSG; Anspruch auf Parteientschädigung im Vorbescheidverfahren der Invalidenversicherung. Im nichtstreitigen IV-rechtlichen Vorbescheidverfahren liegt kein Obsiegen oder Unterliegen der versicherten Person vor, weshalb sich keine analoge Anwendung des Art. 52 Abs. 3 ATSG hinsichtlich der rechtsprechungsgemässen ausnahmsweisen Zusprechung einer Parteientschädigung im Einspracheverfahren rechtfertigt; im Weiteren besteht auch keine spezialgesetzliche Grundlage für die Zusprechung einer Parteientschädigung im Vorbescheidverfahren (E. 3). Ist die strittige Entschädigung unter dem Rechtstitel der unentgeltlichen Verbeiständung geschuldet, steht sie dem amtlichen Rechtsbeistand selber zu. Fehlt dem Rechtsvertreter im letztinstanzlichen Verfahren die Parteistellung, kann die Höhe des amtlichen Honorars nicht in diesem Verfahren beurteilt werden (E. 4).</w:t>
      </w:r>
    </w:p>
    <w:p>
      <w:pPr>
        <w:pStyle w:val="Heading2"/>
      </w:pPr>
      <w:r>
        <w:t>Erwägungen</w:t>
      </w:r>
    </w:p>
    <w:p>
      <w:r>
        <w:rPr>
          <w:b/>
        </w:rPr>
        <w:t>E. 2</w:t>
      </w:r>
    </w:p>
    <w:p>
      <w:r>
        <w:t>Im Streit steht der Anspruch des Versicherten auf eine Parteientschädigung in der Höhe von Fr. 2'408.40 für den Zeitraum des invalidenversicherungsrechtlichen Vorbescheidverfahrens vom 3. Januar bis 27. Juli 2011, wobei das kantonale Gericht bereits mit rechtskräftigem Entscheid vom 7. Juni 2012 einen Anspruch auf unentgeltliche Verbeiständung im Verwaltungsverfahren bejaht hatte. BGE 140 V 116 S. 119</w:t>
      </w:r>
    </w:p>
    <w:p>
      <w:r>
        <w:rPr>
          <w:b/>
        </w:rPr>
        <w:t>E. 3.1</w:t>
      </w:r>
    </w:p>
    <w:p>
      <w:r>
        <w:t>Gemäss vorinstanzlicher Feststellung im Entscheid vom 17. Januar 2013 setzte die Beschwerdeführerin mit Verfügung vom 4. Oktober 2012 unter Bezugnahme auf die Kostennote des Fürsprechers vom 18. Juni 2012 ein amtliches Honorar für das Vorbescheidverfahren für die Zeit vom 3. Januar bis 27. Juli 2011 auf Fr. 1'814.40 fest, während der Fürsprecher eine Entschädigung von Fr. 2'408.40 beantragt hatte. Das kantonale Gericht erwog, gestützt auf Art. 37 Abs. 4 ATSG (SR 830.1) habe die im Vorbescheidverfahren obsiegende versicherte Person, welche im Falle des Unterliegens die unentgeltliche Verbeiständung beanspruchen könnte, Anspruch auf Parteientschädigung. Weiter führte das kantonale Gericht aus, bei der Bemessung des Anwaltshonorars im Sozialversicherungsverfahren gelange nicht das kantonale Recht, sondern Bundesrecht zur Anwendung ( BGE 131 V 153 E. 6.1 S. 158). Sodann sei gemäss Art. 12a ATSV (SR 830.11) in Verbindung mit Art. 10 Abs. 2 des Reglements vom 21. Februar 2008 über die Kosten und Entschädigungen vor dem Bundesverwaltungsgericht (VGKE; SR 173.320.2) ein Minimum von Fr. 200.- und ein Maximum von Fr. 400.- pro Stunde anzunehmen, weshalb der in der Honorarnote vom 18. Juni 2012 geltend gemachte Stundensatz von Fr. 270.- angemessen und demnach eine Parteientschädigung in der Höhe von Fr. 2'408.40 geschuldet sei.</w:t>
      </w:r>
    </w:p>
    <w:p>
      <w:r>
        <w:rPr>
          <w:b/>
        </w:rPr>
        <w:t>E. 3.2</w:t>
      </w:r>
    </w:p>
    <w:p>
      <w:r>
        <w:t>Beschwerdeweise wird vorgetragen, es fehle an einer gesetzlichen Grundlage für die Zusprechung einer Parteientschädigung im Vorbescheidverfahren der Invalidenversicherung. Art. 52 Abs. 3 Satz 2 ATSG beziehe sich ausschliesslich auf das Einspracheverfahren. Sodann sei es hinsichtlich der Höhe der Parteientschädigung stossend, wenn ein Rechtsvertreter bei der Parteientschädigung einen höheren Betrag erhalte als bei der Gewährung der unentgeltlichen Verbeiständung.</w:t>
      </w:r>
    </w:p>
    <w:p>
      <w:r>
        <w:rPr>
          <w:b/>
        </w:rPr>
        <w:t>E. 3.3</w:t>
      </w:r>
    </w:p>
    <w:p>
      <w:r>
        <w:t>Nach Art. 52 Abs. 3 ATSG werden im sozialversicherungsrechtlichen Einspracheverfahren in der Regel keine Parteientschädigungen zugesprochen. Der Einsprecher, der im Falle des Unterliegens die unentgeltliche Verbeiständung beanspruchen könnte, hat aber bei Obsiegen Anspruch auf eine Parteientschädigung ( BGE 132 V 200 E. 4.1 S. 201; BGE 130 V 570 ff.). Dabei bezieht sich der Grundsatz des Art. 52 Abs. 3 Satz 2 ATSG auf das Einspracheverfahren. BGE 140 V 116 S. 120</w:t>
      </w:r>
    </w:p>
    <w:p>
      <w:r>
        <w:rPr>
          <w:b/>
        </w:rPr>
        <w:t>E. 3.4.1</w:t>
      </w:r>
    </w:p>
    <w:p>
      <w:r>
        <w:t>Mit Blick auf die Zusprechung einer Parteientschädigung im Vorbescheidverfahren der Invalidenversicherung, welches im Rahmen der am 1. Juli 2006 in Kraft getretenen 4. IV-Revision das seit 1. Januar 2003 eingeführte Einspracheverfahren wieder ersetzt hat ( Art. 57a IVG und Art. 73 ter IVV [SR 831.201]), entschied das Eidgenössische Versicherungsgericht (heute Bundesgericht) im Urteil I 667/01 vom 17. Februar 2003, dass im Vorbescheidverfahren derInvalidenversicherung mangels gesetzlicher Grundlage kein Anspruch auf Parteientschädigung besteht, wobei der Fall vorbehalten bleibt, dass die Verweigerung der Parteientschädigung einer Verletzung des Willkürverbots gleichkommt. Das Vorbescheidverfahren stellt ein gesetzlich vorgesehenes Verfahren zur Gewährung des rechtlichen Gehörs dar, indem die IV-Stelle die Parteien anhören muss, bevor sie eine Verfügung erlässt, gegen die Beschwerde erhoben werden kann. Damit ist dieses nicht mit dem Einspracheverfahren gleichzusetzen, welches im Gegensatz zum Vorbescheidverfahren ein streitiges Verwaltungsverfahren darstellt, in welchem der Einsprecher folglich obsiegen kann. Im nichtstreitigen Vorbescheidverfahren liegt hingegen kein Obsiegen oder Unterliegen der versicherten Person vor, weshalb sich auch keine analoge Anwendung des Art. 52 Abs. 3 ATSG hinsichtlich der rechtsprechungsgemässen ausnahmsweisen Zusprechung einer Parteientschädigung im Einspracheverfahren rechtfertigt.</w:t>
      </w:r>
    </w:p>
    <w:p>
      <w:r>
        <w:rPr>
          <w:b/>
        </w:rPr>
        <w:t>E. 3.4.2</w:t>
      </w:r>
    </w:p>
    <w:p>
      <w:r>
        <w:t>Eine Rechtsgrundlage für die Zusprechung einer Parteientschädigung für das dem Verfügungserlass vorangehende Administrativverfahren ist auch nicht in Art. 64 Abs. 1 VwVG (SR 172. 021; in Verbindung mit Art. 55 ATSG ) zu erblicken, welcher sich auf das Beschwerdeverfahren bezieht. Bei der Pflicht zur Entrichtung einer Parteientschädigung handelt es sich nicht um einen allgemeinen prozessualen Grundsatz, und eine solche ist insbesondere im erstinstanzlichen Verwaltungsverfahren unüblich. Sie bedarf daher einer ausdrücklichen gesetzlichen Grundlage, worauf die IV-Stelle zutreffend verwies. Der Gesetzgeber hat beim Erlass des Verwaltungsverfahrensgesetzes bewusst darauf verzichtet, die Möglichkeit der Zusprechung einer Parteientschädigung für das erstinstanzliche Verwaltungsverfahren vorzusehen ( BGE 132 II 47 E. 5.2; MARCEL MAILLARD, in: Praxiskommentar zum VwVG, Waldmann/Weissenberger [Hrsg.], 2009, N. 1 zu Art. 64 VwVG ). Mangels spezialgesetzlicher Grundlage besteht daher kein Anspruch auf Zusprechung BGE 140 V 116 S. 121 einer Parteientschädigung im Vorbescheidverfahren. Damit ist der beschwerdeführerischen Argumentation folgend, die strittige Entschädigung nicht unter dem Rechtstitel der Parteientschädigung, sondern im Rahmen der unentgeltlichen Verbeiständung geschuldet.</w:t>
      </w:r>
    </w:p>
    <w:p>
      <w:r>
        <w:rPr>
          <w:b/>
        </w:rPr>
        <w:t>E. 4</w:t>
      </w:r>
    </w:p>
    <w:p>
      <w:r>
        <w:t>Bei der unentgeltlichen Verbeiständung handelt es sich um ein öffentlich-rechtliches Verhältnis zwischen dem Staat und dem Rechtsanwalt ( BGE 132 V 200 E. 5.1.4 S. 205), das einen Honoraranspruch des Rechtsbeistands gegenüber dem Staat begründet. Steht dieser Anspruch demnach dem amtlichen Rechtsbeistand selber zu und nicht der verbeiständeten Partei, kann - mangels Parteistellung des Rechtsvertreters in diesem Verfahren - die Höhe der zustehenden Entschädigung hier nicht beurteilt werden. Daraus ergibt sich, dass die Vorinstanz in ihrem Entscheid vom 17. Januar 2013 die Beschwerde des Rechtsvertreters in eigener Sache mit dem eventualiter gestellten Rechtsbegehren um Zusprechung einer amtlichen Entschädigung in der Höhe von Fr. 2'408.40 zu Unrecht wegen Gegenstandslosigkeit vom Geschäftsverzeichnis abschrieb (Dispositiv- Ziffer 2). Das kantonale Gericht hat daher das Verfahren betreffend die Beschwerde des Rechtsvertreters erneut aufzunehmen und über die Höhe seines Honoraranspruchs im Rahmen der unentgeltlichen Rechtspflege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